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0" w:line="300" w:lineRule="auto"/>
        <w:rPr>
          <w:b w:val="1"/>
          <w:bCs w:val="1"/>
          <w:color w:val="27251e"/>
          <w:sz w:val="46"/>
          <w:szCs w:val="46"/>
        </w:rPr>
      </w:pPr>
      <w:bookmarkStart w:colFirst="0" w:colLast="0" w:name="_2or91ltq9quz" w:id="0"/>
      <w:bookmarkEnd w:id="0"/>
      <w:r w:rsidDel="00000000" w:rsidR="00000000" w:rsidRPr="00000000">
        <w:rPr>
          <w:b w:val="1"/>
          <w:bCs w:val="1"/>
          <w:color w:val="27251e"/>
          <w:sz w:val="46"/>
          <w:szCs w:val="46"/>
          <w:rtl w:val="0"/>
        </w:rPr>
        <w:t xml:space="preserve">How We Create Your Target Market</w:t>
      </w:r>
    </w:p>
    <w:p w:rsidR="00000000" w:rsidDel="00000000" w:rsidP="00000000" w:rsidRDefault="00000000" w:rsidRPr="00000000" w14:paraId="00000002">
      <w:pPr>
        <w:spacing w:after="120" w:before="120" w:lineRule="auto"/>
        <w:rPr>
          <w:rFonts w:ascii="Georgia" w:cs="Georgia" w:eastAsia="Georgia" w:hAnsi="Georgia"/>
          <w:i w:val="1"/>
          <w:iCs w:val="1"/>
          <w:color w:val="27251e"/>
          <w:sz w:val="24"/>
          <w:szCs w:val="24"/>
        </w:rPr>
      </w:pPr>
      <w:r w:rsidDel="00000000" w:rsidR="00000000" w:rsidRPr="00000000">
        <w:rPr>
          <w:rFonts w:ascii="Georgia" w:cs="Georgia" w:eastAsia="Georgia" w:hAnsi="Georgia"/>
          <w:i w:val="1"/>
          <w:iCs w:val="1"/>
          <w:color w:val="27251e"/>
          <w:sz w:val="24"/>
          <w:szCs w:val="24"/>
          <w:rtl w:val="0"/>
        </w:rPr>
        <w:t xml:space="preserve">By Frank Martin</w:t>
      </w:r>
    </w:p>
    <w:p w:rsidR="00000000" w:rsidDel="00000000" w:rsidP="00000000" w:rsidRDefault="00000000" w:rsidRPr="00000000" w14:paraId="00000003">
      <w:pPr>
        <w:spacing w:after="120" w:before="120" w:lineRule="auto"/>
        <w:rPr>
          <w:rFonts w:ascii="Georgia" w:cs="Georgia" w:eastAsia="Georgia" w:hAnsi="Georgia"/>
          <w:i w:val="1"/>
          <w:iCs w:val="1"/>
          <w:color w:val="27251e"/>
          <w:sz w:val="24"/>
          <w:szCs w:val="24"/>
        </w:rPr>
      </w:pPr>
      <w:r w:rsidDel="00000000" w:rsidR="00000000" w:rsidRPr="00000000">
        <w:rPr>
          <w:rtl w:val="0"/>
        </w:rPr>
      </w:r>
    </w:p>
    <w:p w:rsidR="00000000" w:rsidDel="00000000" w:rsidP="00000000" w:rsidRDefault="00000000" w:rsidRPr="00000000" w14:paraId="00000004">
      <w:pPr>
        <w:spacing w:after="120" w:before="120" w:lineRule="auto"/>
        <w:jc w:val="center"/>
        <w:rPr>
          <w:rFonts w:ascii="Georgia" w:cs="Georgia" w:eastAsia="Georgia" w:hAnsi="Georgia"/>
          <w:i w:val="1"/>
          <w:iCs w:val="1"/>
          <w:color w:val="27251e"/>
          <w:sz w:val="24"/>
          <w:szCs w:val="24"/>
        </w:rPr>
      </w:pPr>
      <w:r w:rsidDel="00000000" w:rsidR="00000000" w:rsidRPr="00000000">
        <w:rPr>
          <w:rFonts w:ascii="Georgia" w:cs="Georgia" w:eastAsia="Georgia" w:hAnsi="Georgia"/>
          <w:i w:val="1"/>
          <w:iCs w:val="1"/>
          <w:color w:val="27251e"/>
          <w:sz w:val="24"/>
          <w:szCs w:val="24"/>
        </w:rPr>
        <w:drawing>
          <wp:inline distB="114300" distT="114300" distL="114300" distR="114300">
            <wp:extent cx="5943600" cy="5943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120" w:before="120" w:lineRule="auto"/>
        <w:rPr>
          <w:rFonts w:ascii="Georgia" w:cs="Georgia" w:eastAsia="Georgia" w:hAnsi="Georgia"/>
          <w:i w:val="1"/>
          <w:iCs w:val="1"/>
          <w:color w:val="27251e"/>
          <w:sz w:val="24"/>
          <w:szCs w:val="24"/>
        </w:rPr>
      </w:pPr>
      <w:r w:rsidDel="00000000" w:rsidR="00000000" w:rsidRPr="00000000">
        <w:rPr>
          <w:rtl w:val="0"/>
        </w:rPr>
      </w:r>
    </w:p>
    <w:p w:rsidR="00000000" w:rsidDel="00000000" w:rsidP="00000000" w:rsidRDefault="00000000" w:rsidRPr="00000000" w14:paraId="00000006">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Most practices do not need to market to everyone in their city. They need to reach the right people: individuals who are most likely to need the services offered, who are most likely to respond to the message, and who are most likely to carry insurance that supports strong reimbursement for the practice.</w:t>
      </w:r>
    </w:p>
    <w:p w:rsidR="00000000" w:rsidDel="00000000" w:rsidP="00000000" w:rsidRDefault="00000000" w:rsidRPr="00000000" w14:paraId="00000007">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That is the foundation of an effective medical marketing strategy. A broad campaign may generate attention, but a carefully defined target market is what produces better response rates, stronger lead quality, and a higher return on marketing investment. When marketing starts with precision, the practice can grow more efficiently and with less wasted spend.</w:t>
      </w:r>
    </w:p>
    <w:p w:rsidR="00000000" w:rsidDel="00000000" w:rsidP="00000000" w:rsidRDefault="00000000" w:rsidRPr="00000000" w14:paraId="00000008">
      <w:pPr>
        <w:pStyle w:val="Heading2"/>
        <w:keepNext w:val="0"/>
        <w:keepLines w:val="0"/>
        <w:spacing w:after="80" w:line="300" w:lineRule="auto"/>
        <w:rPr>
          <w:b w:val="1"/>
          <w:bCs w:val="1"/>
          <w:color w:val="27251e"/>
          <w:sz w:val="34"/>
          <w:szCs w:val="34"/>
        </w:rPr>
      </w:pPr>
      <w:bookmarkStart w:colFirst="0" w:colLast="0" w:name="_6l70od4n2ecw" w:id="1"/>
      <w:bookmarkEnd w:id="1"/>
      <w:r w:rsidDel="00000000" w:rsidR="00000000" w:rsidRPr="00000000">
        <w:rPr>
          <w:b w:val="1"/>
          <w:bCs w:val="1"/>
          <w:color w:val="27251e"/>
          <w:sz w:val="34"/>
          <w:szCs w:val="34"/>
          <w:rtl w:val="0"/>
        </w:rPr>
        <w:t xml:space="preserve">Why Targeting Matters</w:t>
      </w:r>
    </w:p>
    <w:p w:rsidR="00000000" w:rsidDel="00000000" w:rsidP="00000000" w:rsidRDefault="00000000" w:rsidRPr="00000000" w14:paraId="00000009">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The purpose of target market development is simple: identify the audience with the highest probability of becoming qualified patients. Instead of casting a wide net, the goal is to focus marketing on the people who best align with the clinical services, financial model, and growth goals of the practice.</w:t>
      </w:r>
    </w:p>
    <w:p w:rsidR="00000000" w:rsidDel="00000000" w:rsidP="00000000" w:rsidRDefault="00000000" w:rsidRPr="00000000" w14:paraId="0000000A">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This approach helps improve several key outcomes at the same time:</w:t>
      </w:r>
    </w:p>
    <w:p w:rsidR="00000000" w:rsidDel="00000000" w:rsidP="00000000" w:rsidRDefault="00000000" w:rsidRPr="00000000" w14:paraId="0000000B">
      <w:pPr>
        <w:numPr>
          <w:ilvl w:val="0"/>
          <w:numId w:val="5"/>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Better response rates from people who are more likely to need care.</w:t>
      </w:r>
    </w:p>
    <w:p w:rsidR="00000000" w:rsidDel="00000000" w:rsidP="00000000" w:rsidRDefault="00000000" w:rsidRPr="00000000" w14:paraId="0000000C">
      <w:pPr>
        <w:numPr>
          <w:ilvl w:val="0"/>
          <w:numId w:val="5"/>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Better financial performance from patients whose coverage aligns well with the practice.</w:t>
      </w:r>
    </w:p>
    <w:p w:rsidR="00000000" w:rsidDel="00000000" w:rsidP="00000000" w:rsidRDefault="00000000" w:rsidRPr="00000000" w14:paraId="0000000D">
      <w:pPr>
        <w:numPr>
          <w:ilvl w:val="0"/>
          <w:numId w:val="5"/>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Better use of marketing dollars by reducing impressions served to low-value audiences.</w:t>
      </w:r>
    </w:p>
    <w:p w:rsidR="00000000" w:rsidDel="00000000" w:rsidP="00000000" w:rsidRDefault="00000000" w:rsidRPr="00000000" w14:paraId="0000000E">
      <w:pPr>
        <w:numPr>
          <w:ilvl w:val="0"/>
          <w:numId w:val="5"/>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Faster growth because the practice is spending more time speaking to likely candidates instead of unqualified prospects.</w:t>
      </w:r>
    </w:p>
    <w:p w:rsidR="00000000" w:rsidDel="00000000" w:rsidP="00000000" w:rsidRDefault="00000000" w:rsidRPr="00000000" w14:paraId="0000000F">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In practical terms, this means the marketing strategy is not built around volume alone. It is built around fit. The better the fit between the message and the audience, the better the campaign tends to perform.</w:t>
      </w:r>
    </w:p>
    <w:p w:rsidR="00000000" w:rsidDel="00000000" w:rsidP="00000000" w:rsidRDefault="00000000" w:rsidRPr="00000000" w14:paraId="00000010">
      <w:pPr>
        <w:pStyle w:val="Heading2"/>
        <w:keepNext w:val="0"/>
        <w:keepLines w:val="0"/>
        <w:spacing w:after="80" w:line="300" w:lineRule="auto"/>
        <w:rPr>
          <w:b w:val="1"/>
          <w:bCs w:val="1"/>
          <w:color w:val="27251e"/>
          <w:sz w:val="34"/>
          <w:szCs w:val="34"/>
        </w:rPr>
      </w:pPr>
      <w:bookmarkStart w:colFirst="0" w:colLast="0" w:name="_o6lmu3mpwwof" w:id="2"/>
      <w:bookmarkEnd w:id="2"/>
      <w:r w:rsidDel="00000000" w:rsidR="00000000" w:rsidRPr="00000000">
        <w:rPr>
          <w:b w:val="1"/>
          <w:bCs w:val="1"/>
          <w:color w:val="27251e"/>
          <w:sz w:val="34"/>
          <w:szCs w:val="34"/>
          <w:rtl w:val="0"/>
        </w:rPr>
        <w:t xml:space="preserve">The Philosophy Behind the Process</w:t>
      </w:r>
    </w:p>
    <w:p w:rsidR="00000000" w:rsidDel="00000000" w:rsidP="00000000" w:rsidRDefault="00000000" w:rsidRPr="00000000" w14:paraId="00000011">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A strong target market is not based on guesswork. It is built around the idea that some people are naturally more likely than others to need a specific service, to engage with educational content, and to take action when presented with the right solution.</w:t>
      </w:r>
    </w:p>
    <w:p w:rsidR="00000000" w:rsidDel="00000000" w:rsidP="00000000" w:rsidRDefault="00000000" w:rsidRPr="00000000" w14:paraId="00000012">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For that reason, audience development begins with two core questions:</w:t>
      </w:r>
    </w:p>
    <w:p w:rsidR="00000000" w:rsidDel="00000000" w:rsidP="00000000" w:rsidRDefault="00000000" w:rsidRPr="00000000" w14:paraId="00000013">
      <w:pPr>
        <w:numPr>
          <w:ilvl w:val="0"/>
          <w:numId w:val="3"/>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Who is most likely to need this service now or in the near future?</w:t>
      </w:r>
    </w:p>
    <w:p w:rsidR="00000000" w:rsidDel="00000000" w:rsidP="00000000" w:rsidRDefault="00000000" w:rsidRPr="00000000" w14:paraId="00000014">
      <w:pPr>
        <w:numPr>
          <w:ilvl w:val="0"/>
          <w:numId w:val="3"/>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Who is most likely to become a financially valuable patient for the practice?</w:t>
      </w:r>
    </w:p>
    <w:p w:rsidR="00000000" w:rsidDel="00000000" w:rsidP="00000000" w:rsidRDefault="00000000" w:rsidRPr="00000000" w14:paraId="00000015">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When these two questions are answered clearly, marketing becomes much more strategic. Instead of spending money trying to persuade the wrong audience, the campaign can focus on those who are already a natural fit.</w:t>
      </w:r>
    </w:p>
    <w:p w:rsidR="00000000" w:rsidDel="00000000" w:rsidP="00000000" w:rsidRDefault="00000000" w:rsidRPr="00000000" w14:paraId="00000016">
      <w:pPr>
        <w:pStyle w:val="Heading2"/>
        <w:keepNext w:val="0"/>
        <w:keepLines w:val="0"/>
        <w:spacing w:after="80" w:line="300" w:lineRule="auto"/>
        <w:rPr>
          <w:b w:val="1"/>
          <w:bCs w:val="1"/>
          <w:color w:val="27251e"/>
          <w:sz w:val="34"/>
          <w:szCs w:val="34"/>
        </w:rPr>
      </w:pPr>
      <w:bookmarkStart w:colFirst="0" w:colLast="0" w:name="_6f9ig6f1i1c" w:id="3"/>
      <w:bookmarkEnd w:id="3"/>
      <w:r w:rsidDel="00000000" w:rsidR="00000000" w:rsidRPr="00000000">
        <w:rPr>
          <w:b w:val="1"/>
          <w:bCs w:val="1"/>
          <w:color w:val="27251e"/>
          <w:sz w:val="34"/>
          <w:szCs w:val="34"/>
          <w:rtl w:val="0"/>
        </w:rPr>
        <w:t xml:space="preserve">How We Define a Target Market</w:t>
      </w:r>
    </w:p>
    <w:p w:rsidR="00000000" w:rsidDel="00000000" w:rsidP="00000000" w:rsidRDefault="00000000" w:rsidRPr="00000000" w14:paraId="00000017">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Every practice has a different ideal patient profile. A urology practice will not target the same audience as a dermatology, orthopedic, spine, or men's health practice. The process begins by identifying the characteristics that define the people most likely to benefit from the services being promoted.</w:t>
      </w:r>
    </w:p>
    <w:p w:rsidR="00000000" w:rsidDel="00000000" w:rsidP="00000000" w:rsidRDefault="00000000" w:rsidRPr="00000000" w14:paraId="00000018">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These criteria often include:</w:t>
      </w:r>
    </w:p>
    <w:p w:rsidR="00000000" w:rsidDel="00000000" w:rsidP="00000000" w:rsidRDefault="00000000" w:rsidRPr="00000000" w14:paraId="00000019">
      <w:pPr>
        <w:numPr>
          <w:ilvl w:val="0"/>
          <w:numId w:val="2"/>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Age range.</w:t>
      </w:r>
    </w:p>
    <w:p w:rsidR="00000000" w:rsidDel="00000000" w:rsidP="00000000" w:rsidRDefault="00000000" w:rsidRPr="00000000" w14:paraId="0000001A">
      <w:pPr>
        <w:numPr>
          <w:ilvl w:val="0"/>
          <w:numId w:val="2"/>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Gender.</w:t>
      </w:r>
    </w:p>
    <w:p w:rsidR="00000000" w:rsidDel="00000000" w:rsidP="00000000" w:rsidRDefault="00000000" w:rsidRPr="00000000" w14:paraId="0000001B">
      <w:pPr>
        <w:numPr>
          <w:ilvl w:val="0"/>
          <w:numId w:val="2"/>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Household income.</w:t>
      </w:r>
    </w:p>
    <w:p w:rsidR="00000000" w:rsidDel="00000000" w:rsidP="00000000" w:rsidRDefault="00000000" w:rsidRPr="00000000" w14:paraId="0000001C">
      <w:pPr>
        <w:numPr>
          <w:ilvl w:val="0"/>
          <w:numId w:val="2"/>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Estimated net worth.</w:t>
      </w:r>
    </w:p>
    <w:p w:rsidR="00000000" w:rsidDel="00000000" w:rsidP="00000000" w:rsidRDefault="00000000" w:rsidRPr="00000000" w14:paraId="0000001D">
      <w:pPr>
        <w:numPr>
          <w:ilvl w:val="0"/>
          <w:numId w:val="2"/>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Geographic radius from the office.</w:t>
      </w:r>
    </w:p>
    <w:p w:rsidR="00000000" w:rsidDel="00000000" w:rsidP="00000000" w:rsidRDefault="00000000" w:rsidRPr="00000000" w14:paraId="0000001E">
      <w:pPr>
        <w:numPr>
          <w:ilvl w:val="0"/>
          <w:numId w:val="2"/>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Interest in healthcare and wellness.</w:t>
      </w:r>
    </w:p>
    <w:p w:rsidR="00000000" w:rsidDel="00000000" w:rsidP="00000000" w:rsidRDefault="00000000" w:rsidRPr="00000000" w14:paraId="0000001F">
      <w:pPr>
        <w:numPr>
          <w:ilvl w:val="0"/>
          <w:numId w:val="2"/>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Interest in learning about new treatments, technologies, and services.</w:t>
      </w:r>
    </w:p>
    <w:p w:rsidR="00000000" w:rsidDel="00000000" w:rsidP="00000000" w:rsidRDefault="00000000" w:rsidRPr="00000000" w14:paraId="00000020">
      <w:pPr>
        <w:numPr>
          <w:ilvl w:val="0"/>
          <w:numId w:val="2"/>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Likelihood of taking a proactive approach to personal health.</w:t>
      </w:r>
    </w:p>
    <w:p w:rsidR="00000000" w:rsidDel="00000000" w:rsidP="00000000" w:rsidRDefault="00000000" w:rsidRPr="00000000" w14:paraId="00000021">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This combination creates a much more useful audience than a simple demographic category alone. A 55-year-old man living near the practice may be a possible fit, but a 55-year-old man with strong healthcare interest, higher income, and an active interest in new medical solutions is far more likely to engage with a campaign about specialized treatment options.</w:t>
      </w:r>
    </w:p>
    <w:p w:rsidR="00000000" w:rsidDel="00000000" w:rsidP="00000000" w:rsidRDefault="00000000" w:rsidRPr="00000000" w14:paraId="00000022">
      <w:pPr>
        <w:pStyle w:val="Heading2"/>
        <w:keepNext w:val="0"/>
        <w:keepLines w:val="0"/>
        <w:spacing w:after="80" w:line="300" w:lineRule="auto"/>
        <w:rPr>
          <w:b w:val="1"/>
          <w:bCs w:val="1"/>
          <w:color w:val="27251e"/>
          <w:sz w:val="34"/>
          <w:szCs w:val="34"/>
        </w:rPr>
      </w:pPr>
      <w:bookmarkStart w:colFirst="0" w:colLast="0" w:name="_iazj6jxycxqe" w:id="4"/>
      <w:bookmarkEnd w:id="4"/>
      <w:r w:rsidDel="00000000" w:rsidR="00000000" w:rsidRPr="00000000">
        <w:rPr>
          <w:b w:val="1"/>
          <w:bCs w:val="1"/>
          <w:color w:val="27251e"/>
          <w:sz w:val="34"/>
          <w:szCs w:val="34"/>
          <w:rtl w:val="0"/>
        </w:rPr>
        <w:t xml:space="preserve">Example: Urology Target Market Development</w:t>
      </w:r>
    </w:p>
    <w:p w:rsidR="00000000" w:rsidDel="00000000" w:rsidP="00000000" w:rsidRDefault="00000000" w:rsidRPr="00000000" w14:paraId="00000023">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For urology practices, the audience definition is often built around men who are within the age range most associated with common urologic concerns and who also fit the financial and behavioral profile of a strong prospective patient.</w:t>
      </w:r>
    </w:p>
    <w:p w:rsidR="00000000" w:rsidDel="00000000" w:rsidP="00000000" w:rsidRDefault="00000000" w:rsidRPr="00000000" w14:paraId="00000024">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A sample audience model may include men who:</w:t>
      </w:r>
    </w:p>
    <w:p w:rsidR="00000000" w:rsidDel="00000000" w:rsidP="00000000" w:rsidRDefault="00000000" w:rsidRPr="00000000" w14:paraId="00000025">
      <w:pPr>
        <w:numPr>
          <w:ilvl w:val="0"/>
          <w:numId w:val="4"/>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Are between 45 and 80 years old.</w:t>
      </w:r>
    </w:p>
    <w:p w:rsidR="00000000" w:rsidDel="00000000" w:rsidP="00000000" w:rsidRDefault="00000000" w:rsidRPr="00000000" w14:paraId="00000026">
      <w:pPr>
        <w:numPr>
          <w:ilvl w:val="0"/>
          <w:numId w:val="4"/>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Earn more than $100,000 annually, or have a net worth above $500,000.</w:t>
      </w:r>
    </w:p>
    <w:p w:rsidR="00000000" w:rsidDel="00000000" w:rsidP="00000000" w:rsidRDefault="00000000" w:rsidRPr="00000000" w14:paraId="00000027">
      <w:pPr>
        <w:numPr>
          <w:ilvl w:val="0"/>
          <w:numId w:val="4"/>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Describe themselves as average or above average in their interest in healthcare.</w:t>
      </w:r>
    </w:p>
    <w:p w:rsidR="00000000" w:rsidDel="00000000" w:rsidP="00000000" w:rsidRDefault="00000000" w:rsidRPr="00000000" w14:paraId="00000028">
      <w:pPr>
        <w:numPr>
          <w:ilvl w:val="0"/>
          <w:numId w:val="4"/>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Describe themselves as average or above average in overall health awareness and in their desire to stay healthy.</w:t>
      </w:r>
    </w:p>
    <w:p w:rsidR="00000000" w:rsidDel="00000000" w:rsidP="00000000" w:rsidRDefault="00000000" w:rsidRPr="00000000" w14:paraId="00000029">
      <w:pPr>
        <w:numPr>
          <w:ilvl w:val="0"/>
          <w:numId w:val="4"/>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Show interest in new healthcare products and services.</w:t>
      </w:r>
    </w:p>
    <w:p w:rsidR="00000000" w:rsidDel="00000000" w:rsidP="00000000" w:rsidRDefault="00000000" w:rsidRPr="00000000" w14:paraId="0000002A">
      <w:pPr>
        <w:numPr>
          <w:ilvl w:val="0"/>
          <w:numId w:val="4"/>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Are open to researching healthcare options online.</w:t>
      </w:r>
    </w:p>
    <w:p w:rsidR="00000000" w:rsidDel="00000000" w:rsidP="00000000" w:rsidRDefault="00000000" w:rsidRPr="00000000" w14:paraId="0000002B">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After these characteristics are established, the next step is to isolate the people who meet the criteria and live within a reasonable travel radius of the office, such as 20 miles from the practice location. This creates a concentrated and highly relevant market for messaging.</w:t>
      </w:r>
    </w:p>
    <w:p w:rsidR="00000000" w:rsidDel="00000000" w:rsidP="00000000" w:rsidRDefault="00000000" w:rsidRPr="00000000" w14:paraId="0000002C">
      <w:pPr>
        <w:pStyle w:val="Heading2"/>
        <w:keepNext w:val="0"/>
        <w:keepLines w:val="0"/>
        <w:spacing w:after="80" w:line="300" w:lineRule="auto"/>
        <w:rPr>
          <w:b w:val="1"/>
          <w:bCs w:val="1"/>
          <w:color w:val="27251e"/>
          <w:sz w:val="34"/>
          <w:szCs w:val="34"/>
        </w:rPr>
      </w:pPr>
      <w:bookmarkStart w:colFirst="0" w:colLast="0" w:name="_7cr5ybbffcfq" w:id="5"/>
      <w:bookmarkEnd w:id="5"/>
      <w:r w:rsidDel="00000000" w:rsidR="00000000" w:rsidRPr="00000000">
        <w:rPr>
          <w:b w:val="1"/>
          <w:bCs w:val="1"/>
          <w:color w:val="27251e"/>
          <w:sz w:val="34"/>
          <w:szCs w:val="34"/>
          <w:rtl w:val="0"/>
        </w:rPr>
        <w:t xml:space="preserve">Why Geographic Radius Still Matters</w:t>
      </w:r>
    </w:p>
    <w:p w:rsidR="00000000" w:rsidDel="00000000" w:rsidP="00000000" w:rsidRDefault="00000000" w:rsidRPr="00000000" w14:paraId="0000002D">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Even in a digital-first world, proximity still plays a major role in healthcare decision-making. Patients generally prefer convenient access to care, especially when consultations, follow-ups, diagnostics, or procedures may require more than one visit.</w:t>
      </w:r>
    </w:p>
    <w:p w:rsidR="00000000" w:rsidDel="00000000" w:rsidP="00000000" w:rsidRDefault="00000000" w:rsidRPr="00000000" w14:paraId="0000002E">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Using a defined radius around the office helps ensure that marketing dollars are directed toward people who can realistically become patients. In most cases, this improves both campaign efficiency and scheduling quality. It also keeps the strategy aligned with actual referral patterns and patient travel behavior.</w:t>
      </w:r>
    </w:p>
    <w:p w:rsidR="00000000" w:rsidDel="00000000" w:rsidP="00000000" w:rsidRDefault="00000000" w:rsidRPr="00000000" w14:paraId="0000002F">
      <w:pPr>
        <w:pStyle w:val="Heading2"/>
        <w:keepNext w:val="0"/>
        <w:keepLines w:val="0"/>
        <w:spacing w:after="80" w:line="300" w:lineRule="auto"/>
        <w:rPr>
          <w:b w:val="1"/>
          <w:bCs w:val="1"/>
          <w:color w:val="27251e"/>
          <w:sz w:val="34"/>
          <w:szCs w:val="34"/>
        </w:rPr>
      </w:pPr>
      <w:bookmarkStart w:colFirst="0" w:colLast="0" w:name="_by7cdxsudhs3" w:id="6"/>
      <w:bookmarkEnd w:id="6"/>
      <w:r w:rsidDel="00000000" w:rsidR="00000000" w:rsidRPr="00000000">
        <w:rPr>
          <w:b w:val="1"/>
          <w:bCs w:val="1"/>
          <w:color w:val="27251e"/>
          <w:sz w:val="34"/>
          <w:szCs w:val="34"/>
          <w:rtl w:val="0"/>
        </w:rPr>
        <w:t xml:space="preserve">Why This Audience Performs Better</w:t>
      </w:r>
    </w:p>
    <w:p w:rsidR="00000000" w:rsidDel="00000000" w:rsidP="00000000" w:rsidRDefault="00000000" w:rsidRPr="00000000" w14:paraId="00000030">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A refined target market often performs better than a broad audience for several reasons.</w:t>
      </w:r>
    </w:p>
    <w:p w:rsidR="00000000" w:rsidDel="00000000" w:rsidP="00000000" w:rsidRDefault="00000000" w:rsidRPr="00000000" w14:paraId="00000031">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First, there is a higher probability of relevance. The people seeing the message are more likely to have an immediate or emerging need for the service.</w:t>
      </w:r>
    </w:p>
    <w:p w:rsidR="00000000" w:rsidDel="00000000" w:rsidP="00000000" w:rsidRDefault="00000000" w:rsidRPr="00000000" w14:paraId="00000032">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Second, there is a higher probability of qualification. Individuals with stronger financial profiles and appropriate insurance are often better aligned with the business goals of the practice.</w:t>
      </w:r>
    </w:p>
    <w:p w:rsidR="00000000" w:rsidDel="00000000" w:rsidP="00000000" w:rsidRDefault="00000000" w:rsidRPr="00000000" w14:paraId="00000033">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Third, there is a higher probability of conversion. When someone is already interested in health, open to learning about treatment options, and within easy reach of the office, the path from message to appointment becomes shorter.</w:t>
      </w:r>
    </w:p>
    <w:p w:rsidR="00000000" w:rsidDel="00000000" w:rsidP="00000000" w:rsidRDefault="00000000" w:rsidRPr="00000000" w14:paraId="00000034">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Fourth, there is a higher probability of identifying surgical or procedural candidates when the campaign is built around services that require a more specific clinical fit. This can increase the value of each successful marketing conversion.</w:t>
      </w:r>
    </w:p>
    <w:p w:rsidR="00000000" w:rsidDel="00000000" w:rsidP="00000000" w:rsidRDefault="00000000" w:rsidRPr="00000000" w14:paraId="00000035">
      <w:pPr>
        <w:pStyle w:val="Heading2"/>
        <w:keepNext w:val="0"/>
        <w:keepLines w:val="0"/>
        <w:spacing w:after="80" w:line="300" w:lineRule="auto"/>
        <w:rPr>
          <w:b w:val="1"/>
          <w:bCs w:val="1"/>
          <w:color w:val="27251e"/>
          <w:sz w:val="34"/>
          <w:szCs w:val="34"/>
        </w:rPr>
      </w:pPr>
      <w:bookmarkStart w:colFirst="0" w:colLast="0" w:name="_d7o5o4fre2yv" w:id="7"/>
      <w:bookmarkEnd w:id="7"/>
      <w:r w:rsidDel="00000000" w:rsidR="00000000" w:rsidRPr="00000000">
        <w:rPr>
          <w:b w:val="1"/>
          <w:bCs w:val="1"/>
          <w:color w:val="27251e"/>
          <w:sz w:val="34"/>
          <w:szCs w:val="34"/>
          <w:rtl w:val="0"/>
        </w:rPr>
        <w:t xml:space="preserve">The Role of Compliance and Trust</w:t>
      </w:r>
    </w:p>
    <w:p w:rsidR="00000000" w:rsidDel="00000000" w:rsidP="00000000" w:rsidRDefault="00000000" w:rsidRPr="00000000" w14:paraId="00000036">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Healthcare marketing should never sacrifice compliance for reach. That is why the process remains HIPAA compliant and message delivery is limited to people who have opted in to receive communications.</w:t>
      </w:r>
    </w:p>
    <w:p w:rsidR="00000000" w:rsidDel="00000000" w:rsidP="00000000" w:rsidRDefault="00000000" w:rsidRPr="00000000" w14:paraId="00000037">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This matters for more than legal reasons. It also protects the reputation of the practice. Patients respond better when outreach feels relevant, respectful, and permission-based. A compliant, opt-in strategy supports trust while also improving engagement quality.</w:t>
      </w:r>
    </w:p>
    <w:p w:rsidR="00000000" w:rsidDel="00000000" w:rsidP="00000000" w:rsidRDefault="00000000" w:rsidRPr="00000000" w14:paraId="00000038">
      <w:pPr>
        <w:pStyle w:val="Heading2"/>
        <w:keepNext w:val="0"/>
        <w:keepLines w:val="0"/>
        <w:spacing w:after="80" w:line="300" w:lineRule="auto"/>
        <w:rPr>
          <w:b w:val="1"/>
          <w:bCs w:val="1"/>
          <w:color w:val="27251e"/>
          <w:sz w:val="34"/>
          <w:szCs w:val="34"/>
        </w:rPr>
      </w:pPr>
      <w:bookmarkStart w:colFirst="0" w:colLast="0" w:name="_fkpgig5csjb2" w:id="8"/>
      <w:bookmarkEnd w:id="8"/>
      <w:r w:rsidDel="00000000" w:rsidR="00000000" w:rsidRPr="00000000">
        <w:rPr>
          <w:b w:val="1"/>
          <w:bCs w:val="1"/>
          <w:color w:val="27251e"/>
          <w:sz w:val="34"/>
          <w:szCs w:val="34"/>
          <w:rtl w:val="0"/>
        </w:rPr>
        <w:t xml:space="preserve">What This Means for Return on Investment</w:t>
      </w:r>
    </w:p>
    <w:p w:rsidR="00000000" w:rsidDel="00000000" w:rsidP="00000000" w:rsidRDefault="00000000" w:rsidRPr="00000000" w14:paraId="00000039">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The real value of target market development is not simply better ad delivery. It is better business performance.</w:t>
      </w:r>
    </w:p>
    <w:p w:rsidR="00000000" w:rsidDel="00000000" w:rsidP="00000000" w:rsidRDefault="00000000" w:rsidRPr="00000000" w14:paraId="0000003A">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When the right audience is identified at the beginning of the campaign, the practice often benefits from:</w:t>
      </w:r>
    </w:p>
    <w:p w:rsidR="00000000" w:rsidDel="00000000" w:rsidP="00000000" w:rsidRDefault="00000000" w:rsidRPr="00000000" w14:paraId="0000003B">
      <w:pPr>
        <w:numPr>
          <w:ilvl w:val="0"/>
          <w:numId w:val="1"/>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Higher quality inquiries.</w:t>
      </w:r>
    </w:p>
    <w:p w:rsidR="00000000" w:rsidDel="00000000" w:rsidP="00000000" w:rsidRDefault="00000000" w:rsidRPr="00000000" w14:paraId="0000003C">
      <w:pPr>
        <w:numPr>
          <w:ilvl w:val="0"/>
          <w:numId w:val="1"/>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Faster movement from inquiry to appointment.</w:t>
      </w:r>
    </w:p>
    <w:p w:rsidR="00000000" w:rsidDel="00000000" w:rsidP="00000000" w:rsidRDefault="00000000" w:rsidRPr="00000000" w14:paraId="0000003D">
      <w:pPr>
        <w:numPr>
          <w:ilvl w:val="0"/>
          <w:numId w:val="1"/>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Better procedure mix.</w:t>
      </w:r>
    </w:p>
    <w:p w:rsidR="00000000" w:rsidDel="00000000" w:rsidP="00000000" w:rsidRDefault="00000000" w:rsidRPr="00000000" w14:paraId="0000003E">
      <w:pPr>
        <w:numPr>
          <w:ilvl w:val="0"/>
          <w:numId w:val="1"/>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Better reimbursement potential.</w:t>
      </w:r>
    </w:p>
    <w:p w:rsidR="00000000" w:rsidDel="00000000" w:rsidP="00000000" w:rsidRDefault="00000000" w:rsidRPr="00000000" w14:paraId="0000003F">
      <w:pPr>
        <w:numPr>
          <w:ilvl w:val="0"/>
          <w:numId w:val="1"/>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Lower wasted ad spend.</w:t>
      </w:r>
    </w:p>
    <w:p w:rsidR="00000000" w:rsidDel="00000000" w:rsidP="00000000" w:rsidRDefault="00000000" w:rsidRPr="00000000" w14:paraId="00000040">
      <w:pPr>
        <w:numPr>
          <w:ilvl w:val="0"/>
          <w:numId w:val="1"/>
        </w:numPr>
        <w:pBdr>
          <w:top w:color="auto" w:space="0" w:sz="0" w:val="none"/>
          <w:bottom w:color="auto" w:space="0" w:sz="0" w:val="none"/>
          <w:between w:color="auto" w:space="0" w:sz="0" w:val="none"/>
        </w:pBdr>
        <w:ind w:left="720" w:hanging="360"/>
      </w:pPr>
      <w:r w:rsidDel="00000000" w:rsidR="00000000" w:rsidRPr="00000000">
        <w:rPr>
          <w:rFonts w:ascii="Georgia" w:cs="Georgia" w:eastAsia="Georgia" w:hAnsi="Georgia"/>
          <w:color w:val="27251e"/>
          <w:sz w:val="24"/>
          <w:szCs w:val="24"/>
          <w:rtl w:val="0"/>
        </w:rPr>
        <w:t xml:space="preserve">More measurable growth from each marketing dollar invested.</w:t>
      </w:r>
    </w:p>
    <w:p w:rsidR="00000000" w:rsidDel="00000000" w:rsidP="00000000" w:rsidRDefault="00000000" w:rsidRPr="00000000" w14:paraId="00000041">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This is what drives a quicker and stronger return on marketing investment. The campaign is not just generating awareness; it is helping the practice attract patients who are more likely to produce meaningful long-term value.</w:t>
      </w:r>
    </w:p>
    <w:p w:rsidR="00000000" w:rsidDel="00000000" w:rsidP="00000000" w:rsidRDefault="00000000" w:rsidRPr="00000000" w14:paraId="00000042">
      <w:pPr>
        <w:pStyle w:val="Heading2"/>
        <w:keepNext w:val="0"/>
        <w:keepLines w:val="0"/>
        <w:spacing w:after="80" w:line="300" w:lineRule="auto"/>
        <w:rPr>
          <w:b w:val="1"/>
          <w:bCs w:val="1"/>
          <w:color w:val="27251e"/>
          <w:sz w:val="34"/>
          <w:szCs w:val="34"/>
        </w:rPr>
      </w:pPr>
      <w:bookmarkStart w:colFirst="0" w:colLast="0" w:name="_htrvjad3pinp" w:id="9"/>
      <w:bookmarkEnd w:id="9"/>
      <w:r w:rsidDel="00000000" w:rsidR="00000000" w:rsidRPr="00000000">
        <w:rPr>
          <w:b w:val="1"/>
          <w:bCs w:val="1"/>
          <w:color w:val="27251e"/>
          <w:sz w:val="34"/>
          <w:szCs w:val="34"/>
          <w:rtl w:val="0"/>
        </w:rPr>
        <w:t xml:space="preserve">Building Practice Value Through Smarter Marketing</w:t>
      </w:r>
    </w:p>
    <w:p w:rsidR="00000000" w:rsidDel="00000000" w:rsidP="00000000" w:rsidRDefault="00000000" w:rsidRPr="00000000" w14:paraId="00000043">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The best marketing does more than fill a schedule. It helps build the long-term value of the practice. When a campaign consistently attracts the right patients, the practice benefits from stronger collections, better service-line growth, and a more strategic patient acquisition model.</w:t>
      </w:r>
    </w:p>
    <w:p w:rsidR="00000000" w:rsidDel="00000000" w:rsidP="00000000" w:rsidRDefault="00000000" w:rsidRPr="00000000" w14:paraId="00000044">
      <w:pPr>
        <w:spacing w:after="120"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That kind of growth is more durable than random lead flow. It creates a system for attracting the types of patients the practice wants more of, rather than relying on generalized advertising that may or may not convert.</w:t>
      </w:r>
    </w:p>
    <w:p w:rsidR="00000000" w:rsidDel="00000000" w:rsidP="00000000" w:rsidRDefault="00000000" w:rsidRPr="00000000" w14:paraId="00000045">
      <w:pPr>
        <w:pStyle w:val="Heading2"/>
        <w:keepNext w:val="0"/>
        <w:keepLines w:val="0"/>
        <w:spacing w:after="80" w:line="300" w:lineRule="auto"/>
        <w:rPr>
          <w:b w:val="1"/>
          <w:bCs w:val="1"/>
          <w:color w:val="27251e"/>
          <w:sz w:val="34"/>
          <w:szCs w:val="34"/>
        </w:rPr>
      </w:pPr>
      <w:bookmarkStart w:colFirst="0" w:colLast="0" w:name="_arlh31i0pj64" w:id="10"/>
      <w:bookmarkEnd w:id="10"/>
      <w:r w:rsidDel="00000000" w:rsidR="00000000" w:rsidRPr="00000000">
        <w:rPr>
          <w:b w:val="1"/>
          <w:bCs w:val="1"/>
          <w:color w:val="27251e"/>
          <w:sz w:val="34"/>
          <w:szCs w:val="34"/>
          <w:rtl w:val="0"/>
        </w:rPr>
        <w:t xml:space="preserve">Final Thoughts</w:t>
      </w:r>
    </w:p>
    <w:p w:rsidR="00000000" w:rsidDel="00000000" w:rsidP="00000000" w:rsidRDefault="00000000" w:rsidRPr="00000000" w14:paraId="00000046">
      <w:pPr>
        <w:spacing w:after="120" w:before="12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Effective medical marketing starts with understanding exactly who the practice wants to reach. By identifying people with a high probability of needing care, a strong likelihood of responding to the message, and insurance or financial profiles that support the practice's goals, marketing becomes more efficient and more profitable.</w:t>
      </w:r>
    </w:p>
    <w:p w:rsidR="00000000" w:rsidDel="00000000" w:rsidP="00000000" w:rsidRDefault="00000000" w:rsidRPr="00000000" w14:paraId="00000047">
      <w:pPr>
        <w:spacing w:before="240" w:lineRule="auto"/>
        <w:rPr>
          <w:rFonts w:ascii="Georgia" w:cs="Georgia" w:eastAsia="Georgia" w:hAnsi="Georgia"/>
          <w:color w:val="27251e"/>
          <w:sz w:val="24"/>
          <w:szCs w:val="24"/>
        </w:rPr>
      </w:pPr>
      <w:r w:rsidDel="00000000" w:rsidR="00000000" w:rsidRPr="00000000">
        <w:rPr>
          <w:rFonts w:ascii="Georgia" w:cs="Georgia" w:eastAsia="Georgia" w:hAnsi="Georgia"/>
          <w:color w:val="27251e"/>
          <w:sz w:val="24"/>
          <w:szCs w:val="24"/>
          <w:rtl w:val="0"/>
        </w:rPr>
        <w:t xml:space="preserve">A well-built target market is not just a list of names. It is the blueprint for better outreach, better patient acquisition, and stronger practice growth.</w:t>
      </w:r>
    </w:p>
    <w:p w:rsidR="00000000" w:rsidDel="00000000" w:rsidP="00000000" w:rsidRDefault="00000000" w:rsidRPr="00000000" w14:paraId="0000004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Georgia" w:cs="Georgia" w:eastAsia="Georgia" w:hAnsi="Georgia"/>
        <w:i w:val="0"/>
        <w:iCs w:val="0"/>
        <w:smallCaps w:val="0"/>
        <w:color w:val="27251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i w:val="0"/>
        <w:iCs w:val="0"/>
        <w:smallCaps w:val="0"/>
        <w:color w:val="27251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Georgia" w:cs="Georgia" w:eastAsia="Georgia" w:hAnsi="Georgia"/>
        <w:i w:val="0"/>
        <w:iCs w:val="0"/>
        <w:smallCaps w:val="0"/>
        <w:color w:val="27251e"/>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i w:val="0"/>
        <w:iCs w:val="0"/>
        <w:smallCaps w:val="0"/>
        <w:color w:val="27251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Georgia" w:cs="Georgia" w:eastAsia="Georgia" w:hAnsi="Georgia"/>
        <w:i w:val="0"/>
        <w:iCs w:val="0"/>
        <w:smallCaps w:val="0"/>
        <w:color w:val="27251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